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195" w:firstLineChars="54"/>
        <w:jc w:val="center"/>
        <w:rPr>
          <w:rFonts w:hint="eastAsia" w:ascii="仿宋" w:hAnsi="仿宋" w:eastAsia="仿宋" w:cs="仿宋"/>
          <w:b/>
          <w:color w:val="auto"/>
          <w:sz w:val="36"/>
          <w:szCs w:val="36"/>
          <w:highlight w:val="none"/>
        </w:rPr>
      </w:pPr>
    </w:p>
    <w:p>
      <w:pPr>
        <w:snapToGrid w:val="0"/>
        <w:spacing w:line="360" w:lineRule="auto"/>
        <w:ind w:right="-447"/>
        <w:jc w:val="center"/>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8"/>
          <w:szCs w:val="40"/>
          <w:highlight w:val="none"/>
          <w:lang w:eastAsia="zh-CN"/>
        </w:rPr>
        <w:t>甘肃酒钢集团宏兴钢铁股份有限公司炼铁厂三相异步电动机YE5 160-M/6-GWF1/7.5kW 380V 1级 IP55 F B5采购技术</w:t>
      </w:r>
      <w:r>
        <w:rPr>
          <w:rFonts w:hint="eastAsia" w:ascii="仿宋" w:hAnsi="仿宋" w:eastAsia="仿宋" w:cs="仿宋"/>
          <w:b/>
          <w:color w:val="auto"/>
          <w:sz w:val="28"/>
          <w:szCs w:val="40"/>
          <w:highlight w:val="none"/>
          <w:lang w:val="en-US" w:eastAsia="zh-CN"/>
        </w:rPr>
        <w:t>规格书</w:t>
      </w:r>
    </w:p>
    <w:p>
      <w:pPr>
        <w:pStyle w:val="2"/>
        <w:jc w:val="center"/>
        <w:rPr>
          <w:rFonts w:hint="eastAsia" w:ascii="仿宋" w:hAnsi="仿宋" w:eastAsia="仿宋" w:cs="仿宋"/>
          <w:color w:val="auto"/>
          <w:sz w:val="22"/>
          <w:szCs w:val="16"/>
          <w:highlight w:val="none"/>
        </w:rPr>
      </w:pPr>
      <w:r>
        <w:rPr>
          <w:rFonts w:hint="eastAsia" w:ascii="仿宋" w:hAnsi="仿宋" w:eastAsia="仿宋" w:cs="仿宋"/>
          <w:b/>
          <w:color w:val="auto"/>
          <w:sz w:val="28"/>
          <w:szCs w:val="40"/>
          <w:highlight w:val="none"/>
          <w:lang w:val="en-US" w:eastAsia="zh-CN"/>
        </w:rPr>
        <w:t>70439081</w:t>
      </w:r>
    </w:p>
    <w:p>
      <w:pPr>
        <w:snapToGrid w:val="0"/>
        <w:spacing w:line="360" w:lineRule="auto"/>
        <w:ind w:right="2" w:rightChars="1" w:firstLine="552" w:firstLineChars="250"/>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rPr>
        <w:t>甲方：甘肃酒钢集团宏兴钢铁股份有限公司</w:t>
      </w:r>
      <w:r>
        <w:rPr>
          <w:rFonts w:hint="eastAsia" w:ascii="仿宋" w:hAnsi="仿宋" w:eastAsia="仿宋" w:cs="仿宋"/>
          <w:b/>
          <w:color w:val="auto"/>
          <w:sz w:val="22"/>
          <w:szCs w:val="22"/>
          <w:highlight w:val="none"/>
          <w:lang w:eastAsia="zh-CN"/>
        </w:rPr>
        <w:t>炼铁厂</w:t>
      </w:r>
    </w:p>
    <w:p>
      <w:pPr>
        <w:spacing w:before="100" w:beforeAutospacing="1" w:after="100" w:afterAutospacing="1" w:line="360" w:lineRule="auto"/>
        <w:ind w:firstLine="568" w:firstLineChars="257"/>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甲方代表（签字）：</w:t>
      </w:r>
    </w:p>
    <w:p>
      <w:pPr>
        <w:spacing w:before="100" w:beforeAutospacing="1" w:after="100" w:afterAutospacing="1" w:line="360" w:lineRule="auto"/>
        <w:ind w:firstLine="568" w:firstLineChars="257"/>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乙方：</w:t>
      </w:r>
    </w:p>
    <w:p>
      <w:pPr>
        <w:snapToGrid w:val="0"/>
        <w:spacing w:before="100" w:beforeAutospacing="1" w:after="100" w:afterAutospacing="1" w:line="360" w:lineRule="auto"/>
        <w:ind w:right="-447" w:firstLine="568" w:firstLineChars="257"/>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乙方代表（签字）：</w:t>
      </w:r>
    </w:p>
    <w:p>
      <w:pPr>
        <w:snapToGrid w:val="0"/>
        <w:spacing w:before="100" w:beforeAutospacing="1" w:after="100" w:afterAutospacing="1" w:line="360" w:lineRule="auto"/>
        <w:ind w:right="-447" w:firstLine="1012" w:firstLineChars="420"/>
        <w:rPr>
          <w:rFonts w:hint="eastAsia" w:ascii="仿宋" w:hAnsi="仿宋" w:eastAsia="仿宋" w:cs="仿宋"/>
          <w:b/>
          <w:color w:val="auto"/>
          <w:sz w:val="24"/>
          <w:szCs w:val="24"/>
          <w:highlight w:val="none"/>
        </w:rPr>
      </w:pPr>
    </w:p>
    <w:p>
      <w:pPr>
        <w:snapToGrid w:val="0"/>
        <w:spacing w:before="100" w:beforeAutospacing="1" w:after="100" w:afterAutospacing="1" w:line="360" w:lineRule="auto"/>
        <w:ind w:right="-447"/>
        <w:rPr>
          <w:rFonts w:hint="eastAsia" w:ascii="仿宋" w:hAnsi="仿宋" w:eastAsia="仿宋" w:cs="仿宋"/>
          <w:b/>
          <w:color w:val="auto"/>
          <w:sz w:val="24"/>
          <w:szCs w:val="24"/>
          <w:highlight w:val="none"/>
        </w:rPr>
      </w:pPr>
    </w:p>
    <w:p>
      <w:pPr>
        <w:widowControl/>
        <w:spacing w:before="100" w:beforeAutospacing="1" w:after="100" w:afterAutospacing="1" w:line="360" w:lineRule="auto"/>
        <w:ind w:right="72" w:rightChars="30" w:firstLine="4327" w:firstLineChars="1796"/>
        <w:rPr>
          <w:rFonts w:hint="eastAsia" w:ascii="仿宋" w:hAnsi="仿宋" w:eastAsia="仿宋" w:cs="仿宋"/>
          <w:color w:val="auto"/>
          <w:sz w:val="40"/>
          <w:szCs w:val="40"/>
          <w:highlight w:val="none"/>
        </w:rPr>
      </w:pPr>
      <w:r>
        <w:rPr>
          <w:rFonts w:hint="eastAsia" w:ascii="仿宋" w:hAnsi="仿宋" w:eastAsia="仿宋" w:cs="仿宋"/>
          <w:b/>
          <w:color w:val="auto"/>
          <w:sz w:val="24"/>
          <w:szCs w:val="24"/>
          <w:highlight w:val="none"/>
        </w:rPr>
        <w:t>20</w:t>
      </w:r>
      <w:r>
        <w:rPr>
          <w:rFonts w:hint="eastAsia" w:ascii="仿宋" w:hAnsi="仿宋" w:eastAsia="仿宋" w:cs="仿宋"/>
          <w:b/>
          <w:color w:val="auto"/>
          <w:sz w:val="24"/>
          <w:szCs w:val="24"/>
          <w:highlight w:val="none"/>
          <w:lang w:val="en-US" w:eastAsia="zh-CN"/>
        </w:rPr>
        <w:t>26</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日</w:t>
      </w:r>
    </w:p>
    <w:p>
      <w:pPr>
        <w:spacing w:line="360" w:lineRule="auto"/>
        <w:rPr>
          <w:rFonts w:hint="eastAsia" w:ascii="仿宋" w:hAnsi="仿宋" w:eastAsia="仿宋" w:cs="仿宋"/>
          <w:bCs/>
          <w:color w:val="auto"/>
          <w:sz w:val="21"/>
          <w:szCs w:val="16"/>
          <w:highlight w:val="none"/>
        </w:rPr>
      </w:pPr>
    </w:p>
    <w:p>
      <w:pPr>
        <w:spacing w:line="360" w:lineRule="auto"/>
        <w:ind w:firstLine="2949" w:firstLineChars="104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目    录</w:t>
      </w:r>
    </w:p>
    <w:p>
      <w:pPr>
        <w:spacing w:line="360" w:lineRule="auto"/>
        <w:ind w:firstLine="2949" w:firstLineChars="1049"/>
        <w:rPr>
          <w:rFonts w:hint="eastAsia" w:ascii="仿宋" w:hAnsi="仿宋" w:eastAsia="仿宋" w:cs="仿宋"/>
          <w:b/>
          <w:color w:val="auto"/>
          <w:sz w:val="28"/>
          <w:szCs w:val="28"/>
          <w:highlight w:val="none"/>
        </w:rPr>
      </w:pP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附件一    总则</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附件二    制造要求</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附件三    系统设备设施供货范围</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附件四    提供资料</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附件五    售后服务</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附件六    交货时间及地点</w:t>
      </w:r>
    </w:p>
    <w:p>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附件七    其它</w:t>
      </w: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snapToGrid w:val="0"/>
        <w:spacing w:line="360" w:lineRule="auto"/>
        <w:ind w:right="-447"/>
        <w:jc w:val="both"/>
        <w:rPr>
          <w:rFonts w:hint="eastAsia" w:ascii="仿宋" w:hAnsi="仿宋" w:eastAsia="仿宋" w:cs="仿宋"/>
          <w:b/>
          <w:color w:val="auto"/>
          <w:sz w:val="22"/>
          <w:szCs w:val="22"/>
          <w:highlight w:val="none"/>
        </w:rPr>
      </w:pPr>
    </w:p>
    <w:p>
      <w:pPr>
        <w:widowControl/>
        <w:autoSpaceDE w:val="0"/>
        <w:autoSpaceDN w:val="0"/>
        <w:adjustRightInd/>
        <w:spacing w:line="360" w:lineRule="auto"/>
        <w:ind w:firstLine="360" w:firstLineChars="200"/>
        <w:jc w:val="left"/>
        <w:textAlignment w:val="auto"/>
        <w:rPr>
          <w:rFonts w:hint="eastAsia" w:ascii="仿宋" w:hAnsi="仿宋" w:eastAsia="仿宋" w:cs="仿宋"/>
          <w:color w:val="auto"/>
          <w:sz w:val="18"/>
          <w:szCs w:val="18"/>
          <w:highlight w:val="none"/>
        </w:rPr>
      </w:pPr>
    </w:p>
    <w:p>
      <w:pPr>
        <w:widowControl/>
        <w:autoSpaceDE w:val="0"/>
        <w:autoSpaceDN w:val="0"/>
        <w:adjustRightInd/>
        <w:spacing w:line="360" w:lineRule="auto"/>
        <w:ind w:firstLine="442" w:firstLineChars="200"/>
        <w:jc w:val="left"/>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甘肃酒钢集团宏兴钢铁股份有限公司</w:t>
      </w:r>
      <w:r>
        <w:rPr>
          <w:rFonts w:hint="eastAsia" w:ascii="仿宋" w:hAnsi="仿宋" w:eastAsia="仿宋" w:cs="仿宋"/>
          <w:b/>
          <w:bCs/>
          <w:color w:val="auto"/>
          <w:sz w:val="22"/>
          <w:szCs w:val="22"/>
          <w:highlight w:val="none"/>
          <w:lang w:eastAsia="zh-CN"/>
        </w:rPr>
        <w:t>炼铁</w:t>
      </w:r>
      <w:r>
        <w:rPr>
          <w:rFonts w:hint="eastAsia" w:ascii="仿宋" w:hAnsi="仿宋" w:eastAsia="仿宋" w:cs="仿宋"/>
          <w:b/>
          <w:bCs/>
          <w:color w:val="auto"/>
          <w:sz w:val="22"/>
          <w:szCs w:val="22"/>
          <w:highlight w:val="none"/>
        </w:rPr>
        <w:t>厂（以下称甲方）与</w:t>
      </w:r>
      <w:r>
        <w:rPr>
          <w:rFonts w:hint="eastAsia" w:ascii="仿宋" w:hAnsi="仿宋" w:eastAsia="仿宋" w:cs="仿宋"/>
          <w:b/>
          <w:bCs/>
          <w:color w:val="auto"/>
          <w:sz w:val="22"/>
          <w:szCs w:val="22"/>
          <w:highlight w:val="none"/>
          <w:u w:val="single"/>
        </w:rPr>
        <w:t xml:space="preserve">                 </w:t>
      </w:r>
      <w:r>
        <w:rPr>
          <w:rFonts w:hint="eastAsia" w:ascii="仿宋" w:hAnsi="仿宋" w:eastAsia="仿宋" w:cs="仿宋"/>
          <w:b/>
          <w:bCs/>
          <w:color w:val="auto"/>
          <w:sz w:val="22"/>
          <w:szCs w:val="22"/>
          <w:highlight w:val="none"/>
        </w:rPr>
        <w:t>（以下称乙方）就甲方</w:t>
      </w:r>
      <w:r>
        <w:rPr>
          <w:rFonts w:hint="eastAsia" w:ascii="仿宋" w:hAnsi="仿宋" w:eastAsia="仿宋" w:cs="仿宋"/>
          <w:b/>
          <w:bCs/>
          <w:color w:val="auto"/>
          <w:sz w:val="22"/>
          <w:szCs w:val="22"/>
          <w:highlight w:val="none"/>
          <w:lang w:eastAsia="zh-CN"/>
        </w:rPr>
        <w:t>三相异步电动机YE5 160-M/6-GWF1/7.5kW 380V 1级 IP55 F B5</w:t>
      </w:r>
      <w:r>
        <w:rPr>
          <w:rFonts w:hint="eastAsia" w:ascii="仿宋" w:hAnsi="仿宋" w:eastAsia="仿宋" w:cs="仿宋"/>
          <w:b/>
          <w:bCs/>
          <w:color w:val="auto"/>
          <w:sz w:val="22"/>
          <w:szCs w:val="22"/>
          <w:highlight w:val="none"/>
        </w:rPr>
        <w:t>采购经双方协商，达成如下技术协议：</w:t>
      </w:r>
    </w:p>
    <w:p>
      <w:pPr>
        <w:widowControl/>
        <w:adjustRightInd/>
        <w:spacing w:line="360" w:lineRule="auto"/>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附件一</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rPr>
        <w:t>总则</w:t>
      </w:r>
    </w:p>
    <w:p>
      <w:pPr>
        <w:tabs>
          <w:tab w:val="left" w:pos="1080"/>
        </w:tabs>
        <w:spacing w:line="360" w:lineRule="auto"/>
        <w:ind w:firstLine="552" w:firstLineChars="25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1.1</w:t>
      </w:r>
      <w:r>
        <w:rPr>
          <w:rFonts w:hint="eastAsia" w:ascii="仿宋" w:hAnsi="仿宋" w:eastAsia="仿宋" w:cs="仿宋"/>
          <w:b/>
          <w:bCs/>
          <w:color w:val="auto"/>
          <w:sz w:val="22"/>
          <w:szCs w:val="22"/>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b/>
          <w:bCs/>
          <w:color w:val="auto"/>
          <w:sz w:val="22"/>
          <w:szCs w:val="22"/>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1.2</w:t>
      </w:r>
      <w:r>
        <w:rPr>
          <w:rFonts w:hint="eastAsia" w:ascii="仿宋" w:hAnsi="仿宋" w:eastAsia="仿宋" w:cs="仿宋"/>
          <w:b/>
          <w:bCs/>
          <w:color w:val="auto"/>
          <w:sz w:val="22"/>
          <w:szCs w:val="22"/>
          <w:highlight w:val="none"/>
        </w:rPr>
        <w:t>乙方提供的设备必须具有国内同行业近几年内的先进制造水平，采用先进工艺，合格材料，成熟的技术或专利技术</w:t>
      </w:r>
      <w:r>
        <w:rPr>
          <w:rFonts w:hint="eastAsia" w:ascii="仿宋" w:hAnsi="仿宋" w:eastAsia="仿宋" w:cs="仿宋"/>
          <w:b/>
          <w:bCs/>
          <w:color w:val="auto"/>
          <w:sz w:val="22"/>
          <w:szCs w:val="22"/>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1.3</w:t>
      </w:r>
      <w:r>
        <w:rPr>
          <w:rFonts w:hint="eastAsia" w:ascii="仿宋" w:hAnsi="仿宋" w:eastAsia="仿宋" w:cs="仿宋"/>
          <w:b/>
          <w:bCs/>
          <w:color w:val="auto"/>
          <w:sz w:val="22"/>
          <w:szCs w:val="22"/>
          <w:highlight w:val="none"/>
        </w:rPr>
        <w:t>乙方提供的设备必须是全新、规范、先进的高质量可靠产品，能够确保连续稳定的工作</w:t>
      </w:r>
      <w:r>
        <w:rPr>
          <w:rFonts w:hint="eastAsia" w:ascii="仿宋" w:hAnsi="仿宋" w:eastAsia="仿宋" w:cs="仿宋"/>
          <w:b/>
          <w:bCs/>
          <w:color w:val="auto"/>
          <w:sz w:val="22"/>
          <w:szCs w:val="22"/>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1.4</w:t>
      </w:r>
      <w:r>
        <w:rPr>
          <w:rFonts w:hint="eastAsia" w:ascii="仿宋" w:hAnsi="仿宋" w:eastAsia="仿宋" w:cs="仿宋"/>
          <w:b/>
          <w:bCs/>
          <w:color w:val="auto"/>
          <w:sz w:val="22"/>
          <w:szCs w:val="22"/>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b/>
          <w:bCs/>
          <w:color w:val="auto"/>
          <w:sz w:val="22"/>
          <w:szCs w:val="22"/>
          <w:highlight w:val="none"/>
          <w:lang w:eastAsia="zh-CN"/>
        </w:rPr>
        <w:t>布</w:t>
      </w:r>
      <w:r>
        <w:rPr>
          <w:rFonts w:hint="eastAsia" w:ascii="仿宋" w:hAnsi="仿宋" w:eastAsia="仿宋" w:cs="仿宋"/>
          <w:b/>
          <w:bCs/>
          <w:color w:val="auto"/>
          <w:sz w:val="22"/>
          <w:szCs w:val="22"/>
          <w:highlight w:val="none"/>
        </w:rPr>
        <w:t>的标准和技术规范</w:t>
      </w:r>
      <w:r>
        <w:rPr>
          <w:rFonts w:hint="eastAsia" w:ascii="仿宋" w:hAnsi="仿宋" w:eastAsia="仿宋" w:cs="仿宋"/>
          <w:b/>
          <w:bCs/>
          <w:color w:val="auto"/>
          <w:sz w:val="22"/>
          <w:szCs w:val="22"/>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1.5乙方须对电动机的完整性、合理性和设计质量承担全部责任。保证设备满足系统工艺要求。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42" w:firstLineChars="200"/>
        <w:jc w:val="both"/>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1.6</w:t>
      </w:r>
      <w:r>
        <w:rPr>
          <w:rFonts w:hint="eastAsia" w:ascii="仿宋" w:hAnsi="仿宋" w:eastAsia="仿宋" w:cs="仿宋"/>
          <w:b/>
          <w:bCs/>
          <w:color w:val="auto"/>
          <w:sz w:val="22"/>
          <w:szCs w:val="22"/>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附件二</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rPr>
        <w:t>制造要求</w:t>
      </w:r>
    </w:p>
    <w:p>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2.1 使用环境</w:t>
      </w:r>
    </w:p>
    <w:p>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2.1.1</w:t>
      </w:r>
      <w:r>
        <w:rPr>
          <w:rFonts w:hint="eastAsia" w:ascii="仿宋" w:hAnsi="仿宋" w:eastAsia="仿宋" w:cs="仿宋"/>
          <w:b/>
          <w:bCs/>
          <w:color w:val="auto"/>
          <w:sz w:val="22"/>
          <w:szCs w:val="22"/>
          <w:highlight w:val="none"/>
        </w:rPr>
        <w:t>该</w:t>
      </w:r>
      <w:r>
        <w:rPr>
          <w:rFonts w:hint="eastAsia" w:ascii="仿宋" w:hAnsi="仿宋" w:eastAsia="仿宋" w:cs="仿宋"/>
          <w:b/>
          <w:bCs/>
          <w:color w:val="auto"/>
          <w:sz w:val="22"/>
          <w:szCs w:val="22"/>
          <w:highlight w:val="none"/>
          <w:lang w:eastAsia="zh-CN"/>
        </w:rPr>
        <w:t>三相异步电动机YE5 160-M/6-GWF1/7.5kW 380V 1级 IP55 F B5</w:t>
      </w:r>
      <w:r>
        <w:rPr>
          <w:rFonts w:hint="eastAsia" w:ascii="仿宋" w:hAnsi="仿宋" w:eastAsia="仿宋" w:cs="仿宋"/>
          <w:b/>
          <w:bCs/>
          <w:color w:val="auto"/>
          <w:sz w:val="22"/>
          <w:szCs w:val="22"/>
          <w:highlight w:val="none"/>
        </w:rPr>
        <w:t>使用于酒钢</w:t>
      </w:r>
      <w:r>
        <w:rPr>
          <w:rFonts w:hint="eastAsia" w:ascii="仿宋" w:hAnsi="仿宋" w:eastAsia="仿宋" w:cs="仿宋"/>
          <w:b/>
          <w:bCs/>
          <w:color w:val="auto"/>
          <w:sz w:val="22"/>
          <w:szCs w:val="22"/>
          <w:highlight w:val="none"/>
          <w:lang w:eastAsia="zh-CN"/>
        </w:rPr>
        <w:t>炼铁厂</w:t>
      </w:r>
      <w:r>
        <w:rPr>
          <w:rFonts w:hint="eastAsia" w:ascii="仿宋" w:hAnsi="仿宋" w:eastAsia="仿宋" w:cs="仿宋"/>
          <w:b/>
          <w:bCs/>
          <w:color w:val="auto"/>
          <w:sz w:val="22"/>
          <w:szCs w:val="22"/>
          <w:highlight w:val="none"/>
          <w:lang w:val="en-US" w:eastAsia="zh-CN"/>
        </w:rPr>
        <w:t>耐材作业区1#带式输送</w:t>
      </w:r>
      <w:r>
        <w:rPr>
          <w:rFonts w:hint="eastAsia" w:ascii="仿宋" w:hAnsi="仿宋" w:eastAsia="仿宋" w:cs="仿宋"/>
          <w:b/>
          <w:bCs/>
          <w:color w:val="auto"/>
          <w:sz w:val="22"/>
          <w:szCs w:val="22"/>
          <w:highlight w:val="none"/>
          <w:lang w:eastAsia="zh-CN"/>
        </w:rPr>
        <w:t>机电机</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rPr>
        <w:t>环境温度为-30℃</w:t>
      </w:r>
      <w:r>
        <w:rPr>
          <w:rFonts w:hint="eastAsia" w:ascii="仿宋" w:hAnsi="仿宋" w:eastAsia="仿宋" w:cs="仿宋"/>
          <w:b/>
          <w:bCs/>
          <w:color w:val="auto"/>
          <w:sz w:val="22"/>
          <w:szCs w:val="22"/>
          <w:highlight w:val="none"/>
          <w:lang w:val="en-US" w:eastAsia="zh-CN"/>
        </w:rPr>
        <w:t>--68.4</w:t>
      </w:r>
      <w:r>
        <w:rPr>
          <w:rFonts w:hint="eastAsia" w:ascii="仿宋" w:hAnsi="仿宋" w:eastAsia="仿宋" w:cs="仿宋"/>
          <w:b/>
          <w:bCs/>
          <w:color w:val="auto"/>
          <w:sz w:val="22"/>
          <w:szCs w:val="22"/>
          <w:highlight w:val="none"/>
        </w:rPr>
        <w:t>℃。海拔1640米。</w:t>
      </w:r>
    </w:p>
    <w:p>
      <w:pPr>
        <w:spacing w:line="360" w:lineRule="auto"/>
        <w:ind w:firstLine="433" w:firstLineChars="196"/>
        <w:rPr>
          <w:rFonts w:hint="eastAsia" w:ascii="仿宋" w:hAnsi="仿宋" w:eastAsia="仿宋" w:cs="仿宋"/>
          <w:b/>
          <w:bCs/>
          <w:color w:val="auto"/>
          <w:sz w:val="22"/>
          <w:szCs w:val="22"/>
          <w:highlight w:val="none"/>
        </w:rPr>
      </w:pPr>
      <w:bookmarkStart w:id="0" w:name="OLE_LINK1"/>
      <w:r>
        <w:rPr>
          <w:rFonts w:hint="eastAsia" w:ascii="仿宋" w:hAnsi="仿宋" w:eastAsia="仿宋" w:cs="仿宋"/>
          <w:b/>
          <w:bCs/>
          <w:color w:val="auto"/>
          <w:sz w:val="22"/>
          <w:szCs w:val="22"/>
          <w:highlight w:val="none"/>
        </w:rPr>
        <w:t>2.2 制造标准</w:t>
      </w:r>
    </w:p>
    <w:p>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 xml:space="preserve">2.2.1 </w:t>
      </w:r>
      <w:bookmarkEnd w:id="0"/>
      <w:r>
        <w:rPr>
          <w:rFonts w:hint="eastAsia" w:ascii="仿宋" w:hAnsi="仿宋" w:eastAsia="仿宋" w:cs="仿宋"/>
          <w:b/>
          <w:bCs/>
          <w:color w:val="auto"/>
          <w:sz w:val="22"/>
          <w:szCs w:val="22"/>
          <w:highlight w:val="none"/>
        </w:rPr>
        <w:t>符合GB</w:t>
      </w:r>
      <w:r>
        <w:rPr>
          <w:rFonts w:hint="eastAsia" w:ascii="仿宋" w:hAnsi="仿宋" w:eastAsia="仿宋" w:cs="仿宋"/>
          <w:b/>
          <w:bCs/>
          <w:color w:val="auto"/>
          <w:sz w:val="22"/>
          <w:szCs w:val="22"/>
          <w:highlight w:val="none"/>
          <w:lang w:val="en-US" w:eastAsia="zh-CN"/>
        </w:rPr>
        <w:t>18613</w:t>
      </w:r>
      <w:r>
        <w:rPr>
          <w:rFonts w:hint="eastAsia" w:ascii="仿宋" w:hAnsi="仿宋" w:eastAsia="仿宋" w:cs="仿宋"/>
          <w:b/>
          <w:bCs/>
          <w:color w:val="auto"/>
          <w:sz w:val="22"/>
          <w:szCs w:val="22"/>
          <w:highlight w:val="none"/>
        </w:rPr>
        <w:t>-20</w:t>
      </w:r>
      <w:r>
        <w:rPr>
          <w:rFonts w:hint="eastAsia" w:ascii="仿宋" w:hAnsi="仿宋" w:eastAsia="仿宋" w:cs="仿宋"/>
          <w:b/>
          <w:bCs/>
          <w:color w:val="auto"/>
          <w:sz w:val="22"/>
          <w:szCs w:val="22"/>
          <w:highlight w:val="none"/>
          <w:lang w:val="en-US" w:eastAsia="zh-CN"/>
        </w:rPr>
        <w:t>20</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rPr>
        <w:t>能效限定值及能效等级标准，符合国际电工委员会（IEC）标准。</w:t>
      </w:r>
    </w:p>
    <w:p>
      <w:pPr>
        <w:spacing w:line="360" w:lineRule="auto"/>
        <w:ind w:left="477" w:leftChars="175" w:hanging="57" w:hangingChars="2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 相关技术要求</w:t>
      </w:r>
    </w:p>
    <w:p>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2.3.1 相关参数</w:t>
      </w:r>
    </w:p>
    <w:p>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①</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型号：YE5</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lang w:eastAsia="zh-CN"/>
        </w:rPr>
        <w:t>160M</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lang w:eastAsia="zh-CN"/>
        </w:rPr>
        <w:t>6</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②</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功率：</w:t>
      </w:r>
      <w:r>
        <w:rPr>
          <w:rFonts w:hint="eastAsia" w:ascii="仿宋" w:hAnsi="仿宋" w:eastAsia="仿宋" w:cs="仿宋"/>
          <w:b/>
          <w:bCs/>
          <w:color w:val="auto"/>
          <w:sz w:val="22"/>
          <w:szCs w:val="22"/>
          <w:highlight w:val="none"/>
          <w:lang w:val="en-US" w:eastAsia="zh-CN"/>
        </w:rPr>
        <w:t>7.5</w:t>
      </w:r>
      <w:r>
        <w:rPr>
          <w:rFonts w:hint="eastAsia" w:ascii="仿宋" w:hAnsi="仿宋" w:eastAsia="仿宋" w:cs="仿宋"/>
          <w:b/>
          <w:bCs/>
          <w:color w:val="auto"/>
          <w:sz w:val="22"/>
          <w:szCs w:val="22"/>
          <w:highlight w:val="none"/>
          <w:lang w:eastAsia="zh-CN"/>
        </w:rPr>
        <w:t>KW</w:t>
      </w:r>
    </w:p>
    <w:p>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③</w:t>
      </w:r>
      <w:r>
        <w:rPr>
          <w:rFonts w:hint="eastAsia" w:ascii="仿宋" w:hAnsi="仿宋" w:eastAsia="仿宋" w:cs="仿宋"/>
          <w:b/>
          <w:bCs/>
          <w:color w:val="auto"/>
          <w:sz w:val="22"/>
          <w:szCs w:val="22"/>
          <w:highlight w:val="none"/>
          <w:lang w:val="en-US" w:eastAsia="zh-CN"/>
        </w:rPr>
        <w:t xml:space="preserve"> 接线方式</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 xml:space="preserve"> △                   </w:t>
      </w:r>
      <w:r>
        <w:rPr>
          <w:rFonts w:hint="eastAsia" w:ascii="仿宋" w:hAnsi="仿宋" w:eastAsia="仿宋" w:cs="仿宋"/>
          <w:b/>
          <w:bCs/>
          <w:color w:val="auto"/>
          <w:sz w:val="22"/>
          <w:szCs w:val="22"/>
          <w:highlight w:val="none"/>
          <w:lang w:eastAsia="zh-CN"/>
        </w:rPr>
        <w:t>④</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额定电压：</w:t>
      </w:r>
      <w:r>
        <w:rPr>
          <w:rFonts w:hint="eastAsia" w:ascii="仿宋" w:hAnsi="仿宋" w:eastAsia="仿宋" w:cs="仿宋"/>
          <w:b/>
          <w:bCs/>
          <w:color w:val="auto"/>
          <w:sz w:val="22"/>
          <w:szCs w:val="22"/>
          <w:highlight w:val="none"/>
          <w:lang w:val="en-US" w:eastAsia="zh-CN"/>
        </w:rPr>
        <w:t>AC</w:t>
      </w:r>
      <w:r>
        <w:rPr>
          <w:rFonts w:hint="eastAsia" w:ascii="仿宋" w:hAnsi="仿宋" w:eastAsia="仿宋" w:cs="仿宋"/>
          <w:b/>
          <w:bCs/>
          <w:color w:val="auto"/>
          <w:sz w:val="22"/>
          <w:szCs w:val="22"/>
          <w:highlight w:val="none"/>
          <w:lang w:eastAsia="zh-CN"/>
        </w:rPr>
        <w:t>380V(三相)</w:t>
      </w:r>
    </w:p>
    <w:p>
      <w:pPr>
        <w:spacing w:line="360" w:lineRule="auto"/>
        <w:ind w:firstLine="442" w:firstLineChars="200"/>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eastAsia="zh-CN"/>
        </w:rPr>
        <w:t>⑤</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安装方式：B</w:t>
      </w:r>
      <w:r>
        <w:rPr>
          <w:rFonts w:hint="eastAsia" w:ascii="仿宋" w:hAnsi="仿宋" w:eastAsia="仿宋" w:cs="仿宋"/>
          <w:b/>
          <w:bCs/>
          <w:color w:val="auto"/>
          <w:sz w:val="22"/>
          <w:szCs w:val="22"/>
          <w:highlight w:val="none"/>
          <w:lang w:val="en-US" w:eastAsia="zh-CN"/>
        </w:rPr>
        <w:t xml:space="preserve">5                    ⑥使用环境:GWF1 </w:t>
      </w:r>
    </w:p>
    <w:p>
      <w:pPr>
        <w:spacing w:line="360" w:lineRule="auto"/>
        <w:ind w:firstLine="440" w:firstLineChars="200"/>
        <w:rPr>
          <w:rFonts w:hint="eastAsia" w:ascii="仿宋" w:hAnsi="仿宋" w:eastAsia="仿宋" w:cs="仿宋"/>
          <w:b/>
          <w:bCs/>
          <w:color w:val="auto"/>
          <w:sz w:val="22"/>
          <w:szCs w:val="22"/>
          <w:highlight w:val="none"/>
          <w:lang w:val="en-US" w:eastAsia="zh-CN"/>
        </w:rPr>
      </w:pPr>
      <w:r>
        <w:rPr>
          <w:rFonts w:hint="eastAsia" w:ascii="微软雅黑" w:hAnsi="微软雅黑" w:eastAsia="微软雅黑" w:cs="微软雅黑"/>
          <w:b/>
          <w:bCs/>
          <w:color w:val="auto"/>
          <w:sz w:val="22"/>
          <w:szCs w:val="22"/>
          <w:highlight w:val="none"/>
          <w:lang w:val="en-US" w:eastAsia="zh-CN"/>
        </w:rPr>
        <w:t>⑦</w:t>
      </w:r>
      <w:r>
        <w:rPr>
          <w:rFonts w:hint="eastAsia" w:ascii="仿宋" w:hAnsi="仿宋" w:eastAsia="仿宋" w:cs="仿宋"/>
          <w:b/>
          <w:bCs/>
          <w:color w:val="auto"/>
          <w:sz w:val="22"/>
          <w:szCs w:val="22"/>
          <w:highlight w:val="none"/>
          <w:lang w:val="en-US" w:eastAsia="zh-CN"/>
        </w:rPr>
        <w:t xml:space="preserve">额定电流：16.4A                  </w:t>
      </w:r>
      <w:r>
        <w:rPr>
          <w:rFonts w:hint="eastAsia" w:ascii="微软雅黑" w:hAnsi="微软雅黑" w:eastAsia="微软雅黑" w:cs="微软雅黑"/>
          <w:b/>
          <w:bCs/>
          <w:color w:val="auto"/>
          <w:sz w:val="22"/>
          <w:szCs w:val="22"/>
          <w:highlight w:val="none"/>
          <w:lang w:val="en-US" w:eastAsia="zh-CN"/>
        </w:rPr>
        <w:t>⑧</w:t>
      </w:r>
      <w:r>
        <w:rPr>
          <w:rFonts w:hint="eastAsia" w:ascii="仿宋" w:hAnsi="仿宋" w:eastAsia="仿宋" w:cs="仿宋"/>
          <w:b/>
          <w:bCs/>
          <w:color w:val="auto"/>
          <w:sz w:val="22"/>
          <w:szCs w:val="22"/>
          <w:highlight w:val="none"/>
          <w:lang w:val="en-US" w:eastAsia="zh-CN"/>
        </w:rPr>
        <w:t>绝缘等级：F</w:t>
      </w:r>
    </w:p>
    <w:p>
      <w:pPr>
        <w:spacing w:line="360" w:lineRule="auto"/>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w:t>
      </w:r>
      <w:r>
        <w:rPr>
          <w:rFonts w:hint="eastAsia" w:ascii="仿宋" w:hAnsi="仿宋" w:eastAsia="仿宋" w:cs="仿宋"/>
          <w:b/>
          <w:bCs/>
          <w:color w:val="auto"/>
          <w:sz w:val="22"/>
          <w:szCs w:val="22"/>
          <w:highlight w:val="none"/>
          <w:lang w:val="en-US" w:eastAsia="zh-CN"/>
        </w:rPr>
        <w:t>2</w:t>
      </w:r>
      <w:r>
        <w:rPr>
          <w:rFonts w:hint="eastAsia" w:ascii="仿宋" w:hAnsi="仿宋" w:eastAsia="仿宋" w:cs="仿宋"/>
          <w:b/>
          <w:bCs/>
          <w:color w:val="auto"/>
          <w:sz w:val="22"/>
          <w:szCs w:val="22"/>
          <w:highlight w:val="none"/>
        </w:rPr>
        <w:t xml:space="preserve"> </w:t>
      </w:r>
      <w:r>
        <w:rPr>
          <w:rFonts w:hint="eastAsia" w:ascii="仿宋" w:hAnsi="仿宋" w:eastAsia="仿宋" w:cs="仿宋"/>
          <w:b/>
          <w:bCs/>
          <w:color w:val="auto"/>
          <w:sz w:val="22"/>
          <w:szCs w:val="22"/>
          <w:highlight w:val="none"/>
          <w:lang w:eastAsia="zh-CN"/>
        </w:rPr>
        <w:t>电动机其他主要技术要求</w:t>
      </w:r>
    </w:p>
    <w:p>
      <w:pPr>
        <w:numPr>
          <w:ilvl w:val="0"/>
          <w:numId w:val="0"/>
        </w:numPr>
        <w:spacing w:line="360" w:lineRule="auto"/>
        <w:ind w:left="480" w:leftChars="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①</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rPr>
        <w:t>接线盒在电机</w:t>
      </w:r>
      <w:r>
        <w:rPr>
          <w:rFonts w:hint="eastAsia" w:ascii="仿宋" w:hAnsi="仿宋" w:eastAsia="仿宋" w:cs="仿宋"/>
          <w:b/>
          <w:bCs/>
          <w:color w:val="auto"/>
          <w:sz w:val="22"/>
          <w:szCs w:val="22"/>
          <w:highlight w:val="none"/>
          <w:lang w:eastAsia="zh-CN"/>
        </w:rPr>
        <w:t>输出轴侧面，接线盒应配有橡胶密封垫圈，电缆进线孔使用不锈钢进线格兰，接线盒内部使用绝缘树脂密封，防止外部灰尘进入电机绕组。</w:t>
      </w:r>
    </w:p>
    <w:p>
      <w:pPr>
        <w:spacing w:line="360" w:lineRule="auto"/>
        <w:ind w:firstLine="504" w:firstLineChars="228"/>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2.3.2电动机</w:t>
      </w:r>
      <w:r>
        <w:rPr>
          <w:rFonts w:hint="eastAsia" w:ascii="仿宋" w:hAnsi="仿宋" w:eastAsia="仿宋" w:cs="仿宋"/>
          <w:b/>
          <w:bCs/>
          <w:color w:val="auto"/>
          <w:sz w:val="22"/>
          <w:szCs w:val="22"/>
          <w:highlight w:val="none"/>
          <w:lang w:eastAsia="zh-CN"/>
        </w:rPr>
        <w:t>主要</w:t>
      </w:r>
      <w:r>
        <w:rPr>
          <w:rFonts w:hint="eastAsia" w:ascii="仿宋" w:hAnsi="仿宋" w:eastAsia="仿宋" w:cs="仿宋"/>
          <w:b/>
          <w:bCs/>
          <w:color w:val="auto"/>
          <w:sz w:val="22"/>
          <w:szCs w:val="22"/>
          <w:highlight w:val="none"/>
          <w:lang w:val="en-US" w:eastAsia="zh-CN"/>
        </w:rPr>
        <w:t>技术</w:t>
      </w:r>
      <w:r>
        <w:rPr>
          <w:rFonts w:hint="eastAsia" w:ascii="仿宋" w:hAnsi="仿宋" w:eastAsia="仿宋" w:cs="仿宋"/>
          <w:b/>
          <w:bCs/>
          <w:color w:val="auto"/>
          <w:sz w:val="22"/>
          <w:szCs w:val="22"/>
          <w:highlight w:val="none"/>
        </w:rPr>
        <w:t>要求</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rPr>
        <w:t>1、</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2、电机定子绕组及铁芯：使用</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专用电磁线，抗过载能力强，使用寿命长，耐温180℃以上。铁芯材质：无取向冷轧硅钢片，大槽线圈。具有磁感应强度高，电磁损耗低，冲片性好，铁损低特点。</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3、</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的轴承两端均设置注油孔同时配备黄铜油嘴，方便在线轴承注油。</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4、选用</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专用轴承，轴承配置前后小盖加油封，密封严实，防止电机加油后在运行过程中将润滑油脂甩至绕组内部或积灰进入轴承内部。</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5、电机法兰材质为碳钢(45#钢），受力均匀，承重力强，坚定稳固。</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6、乙方提供的电动机安装尺寸参数与现场在用电机具备互换性，电机订货请需核实尺寸。</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7、电机重量在 20kg 及以上时应提供带环形螺栓、吊钩或其它能安全起吊的装置。</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8、电机外壳应有符合规定的接地螺栓，电机的铭牌要求用不锈钢板制作并可靠固定，铭牌上应标注有：名称、型号和额定数据，厂家、出品号、和出厂年月等主要参数。</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9、电动机表面防腐后烤漆，</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应有较强的抗振性及过载能力。</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11、现场安装环境：环境温度68.4℃左右，现场环境温度高。</w:t>
      </w:r>
    </w:p>
    <w:p>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12、电机应加大服务系数，保证现场的使用情况。</w:t>
      </w:r>
    </w:p>
    <w:p>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pacing w:val="-4"/>
          <w:kern w:val="28"/>
          <w:sz w:val="22"/>
          <w:szCs w:val="22"/>
          <w:highlight w:val="none"/>
        </w:rPr>
        <w:t>附件三</w:t>
      </w:r>
      <w:r>
        <w:rPr>
          <w:rFonts w:hint="eastAsia" w:ascii="仿宋" w:hAnsi="仿宋" w:eastAsia="仿宋" w:cs="仿宋"/>
          <w:b/>
          <w:bCs/>
          <w:color w:val="auto"/>
          <w:spacing w:val="-4"/>
          <w:kern w:val="28"/>
          <w:sz w:val="22"/>
          <w:szCs w:val="22"/>
          <w:highlight w:val="none"/>
          <w:lang w:val="en-US" w:eastAsia="zh-CN"/>
        </w:rPr>
        <w:t xml:space="preserve"> </w:t>
      </w:r>
      <w:r>
        <w:rPr>
          <w:rFonts w:hint="eastAsia" w:ascii="仿宋" w:hAnsi="仿宋" w:eastAsia="仿宋" w:cs="仿宋"/>
          <w:b/>
          <w:bCs/>
          <w:color w:val="auto"/>
          <w:spacing w:val="-4"/>
          <w:kern w:val="28"/>
          <w:sz w:val="22"/>
          <w:szCs w:val="22"/>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1"/>
                <w:szCs w:val="21"/>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总质量（kg）</w:t>
            </w:r>
          </w:p>
        </w:tc>
      </w:tr>
      <w:tr>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单重</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总重</w:t>
            </w:r>
          </w:p>
        </w:tc>
      </w:tr>
      <w:tr>
        <w:tblPrEx>
          <w:tblCellMar>
            <w:top w:w="0" w:type="dxa"/>
            <w:left w:w="108" w:type="dxa"/>
            <w:bottom w:w="0" w:type="dxa"/>
            <w:right w:w="108" w:type="dxa"/>
          </w:tblCellMar>
        </w:tblPrEx>
        <w:trPr>
          <w:trHeight w:val="1287" w:hRule="atLeast"/>
        </w:trPr>
        <w:tc>
          <w:tcPr>
            <w:tcW w:w="311"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pPr>
              <w:pStyle w:val="2"/>
              <w:jc w:val="center"/>
              <w:rPr>
                <w:rFonts w:hint="eastAsia" w:ascii="宋体" w:hAnsi="宋体" w:eastAsia="宋体" w:cs="宋体"/>
                <w:b/>
                <w:bCs/>
                <w:i w:val="0"/>
                <w:iCs w:val="0"/>
                <w:color w:val="FF0000"/>
                <w:sz w:val="21"/>
                <w:szCs w:val="21"/>
                <w:u w:val="none"/>
                <w:lang w:val="en-US" w:eastAsia="zh-CN" w:bidi="ar-SA"/>
              </w:rPr>
            </w:pPr>
            <w:r>
              <w:rPr>
                <w:rFonts w:hint="eastAsia" w:ascii="仿宋" w:hAnsi="仿宋" w:eastAsia="仿宋" w:cs="仿宋"/>
                <w:b/>
                <w:bCs/>
                <w:color w:val="auto"/>
                <w:kern w:val="2"/>
                <w:sz w:val="22"/>
                <w:szCs w:val="22"/>
                <w:highlight w:val="none"/>
                <w:lang w:val="en-US" w:eastAsia="zh-CN" w:bidi="ar-SA"/>
              </w:rPr>
              <w:t>70439081</w:t>
            </w:r>
          </w:p>
        </w:tc>
        <w:tc>
          <w:tcPr>
            <w:tcW w:w="1251"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三相异步电动机YE5 160-M/6-GWF1/7.5kW 380V 1级 IP55 F B5</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21" w:firstLineChars="100"/>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w:t>
            </w:r>
          </w:p>
        </w:tc>
      </w:tr>
    </w:tbl>
    <w:p>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安装方式必须与现场电机安装尺寸一致，确保提供的</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机能够完全的备用和互换。</w:t>
      </w:r>
    </w:p>
    <w:p>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pacing w:val="-4"/>
          <w:kern w:val="28"/>
          <w:sz w:val="22"/>
          <w:szCs w:val="22"/>
          <w:highlight w:val="none"/>
        </w:rPr>
        <w:t>附件四</w:t>
      </w:r>
      <w:r>
        <w:rPr>
          <w:rFonts w:hint="eastAsia" w:ascii="仿宋" w:hAnsi="仿宋" w:eastAsia="仿宋" w:cs="仿宋"/>
          <w:b/>
          <w:bCs/>
          <w:color w:val="auto"/>
          <w:spacing w:val="-4"/>
          <w:kern w:val="28"/>
          <w:sz w:val="22"/>
          <w:szCs w:val="22"/>
          <w:highlight w:val="none"/>
          <w:lang w:val="en-US" w:eastAsia="zh-CN"/>
        </w:rPr>
        <w:t xml:space="preserve"> </w:t>
      </w:r>
      <w:r>
        <w:rPr>
          <w:rFonts w:hint="eastAsia" w:ascii="仿宋" w:hAnsi="仿宋" w:eastAsia="仿宋" w:cs="仿宋"/>
          <w:b/>
          <w:bCs/>
          <w:color w:val="auto"/>
          <w:spacing w:val="-4"/>
          <w:kern w:val="28"/>
          <w:sz w:val="22"/>
          <w:szCs w:val="22"/>
          <w:highlight w:val="none"/>
        </w:rPr>
        <w:t>提供资料</w:t>
      </w:r>
    </w:p>
    <w:p>
      <w:pPr>
        <w:widowControl w:val="0"/>
        <w:tabs>
          <w:tab w:val="left" w:pos="540"/>
          <w:tab w:val="left" w:pos="1080"/>
        </w:tabs>
        <w:spacing w:line="360" w:lineRule="auto"/>
        <w:jc w:val="both"/>
        <w:outlineLvl w:val="0"/>
        <w:rPr>
          <w:rFonts w:hint="eastAsia" w:ascii="仿宋" w:hAnsi="仿宋" w:eastAsia="仿宋" w:cs="仿宋"/>
          <w:b/>
          <w:bCs/>
          <w:color w:val="auto"/>
          <w:kern w:val="2"/>
          <w:sz w:val="22"/>
          <w:szCs w:val="22"/>
          <w:highlight w:val="none"/>
          <w:lang w:eastAsia="zh-CN"/>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.1</w:t>
      </w:r>
      <w:r>
        <w:rPr>
          <w:rFonts w:hint="eastAsia" w:ascii="仿宋" w:hAnsi="仿宋" w:eastAsia="仿宋" w:cs="仿宋"/>
          <w:b/>
          <w:bCs/>
          <w:color w:val="auto"/>
          <w:kern w:val="2"/>
          <w:sz w:val="22"/>
          <w:szCs w:val="22"/>
          <w:highlight w:val="none"/>
          <w:lang w:eastAsia="zh-CN"/>
        </w:rPr>
        <w:t>乙方</w:t>
      </w:r>
      <w:r>
        <w:rPr>
          <w:rFonts w:hint="eastAsia" w:ascii="仿宋" w:hAnsi="仿宋" w:eastAsia="仿宋" w:cs="仿宋"/>
          <w:b/>
          <w:bCs/>
          <w:color w:val="auto"/>
          <w:kern w:val="2"/>
          <w:sz w:val="22"/>
          <w:szCs w:val="22"/>
          <w:highlight w:val="none"/>
        </w:rPr>
        <w:t>在</w:t>
      </w:r>
      <w:r>
        <w:rPr>
          <w:rFonts w:hint="eastAsia" w:ascii="仿宋" w:hAnsi="仿宋" w:eastAsia="仿宋" w:cs="仿宋"/>
          <w:b/>
          <w:bCs/>
          <w:color w:val="auto"/>
          <w:kern w:val="2"/>
          <w:sz w:val="22"/>
          <w:szCs w:val="22"/>
          <w:highlight w:val="none"/>
          <w:lang w:eastAsia="zh-CN"/>
        </w:rPr>
        <w:t>投标前可到甲</w:t>
      </w:r>
      <w:r>
        <w:rPr>
          <w:rFonts w:hint="eastAsia" w:ascii="仿宋" w:hAnsi="仿宋" w:eastAsia="仿宋" w:cs="仿宋"/>
          <w:b/>
          <w:bCs/>
          <w:color w:val="auto"/>
          <w:kern w:val="2"/>
          <w:sz w:val="22"/>
          <w:szCs w:val="22"/>
          <w:highlight w:val="none"/>
        </w:rPr>
        <w:t>方</w:t>
      </w:r>
      <w:r>
        <w:rPr>
          <w:rFonts w:hint="eastAsia" w:ascii="仿宋" w:hAnsi="仿宋" w:eastAsia="仿宋" w:cs="仿宋"/>
          <w:b/>
          <w:bCs/>
          <w:color w:val="auto"/>
          <w:kern w:val="2"/>
          <w:sz w:val="22"/>
          <w:szCs w:val="22"/>
          <w:highlight w:val="none"/>
          <w:lang w:eastAsia="zh-CN"/>
        </w:rPr>
        <w:t>现场现场勘察，并查看甲方在线设备资料和现场环境。</w:t>
      </w:r>
    </w:p>
    <w:p>
      <w:pPr>
        <w:widowControl w:val="0"/>
        <w:spacing w:line="360" w:lineRule="auto"/>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 xml:space="preserve">.2乙方在中标后 </w:t>
      </w:r>
      <w:r>
        <w:rPr>
          <w:rFonts w:hint="eastAsia" w:ascii="仿宋" w:hAnsi="仿宋" w:eastAsia="仿宋" w:cs="仿宋"/>
          <w:b/>
          <w:bCs/>
          <w:color w:val="auto"/>
          <w:kern w:val="2"/>
          <w:sz w:val="22"/>
          <w:szCs w:val="22"/>
          <w:highlight w:val="none"/>
          <w:lang w:val="en-US" w:eastAsia="zh-CN"/>
        </w:rPr>
        <w:t>7</w:t>
      </w:r>
      <w:r>
        <w:rPr>
          <w:rFonts w:hint="eastAsia" w:ascii="仿宋" w:hAnsi="仿宋" w:eastAsia="仿宋" w:cs="仿宋"/>
          <w:b/>
          <w:bCs/>
          <w:color w:val="auto"/>
          <w:kern w:val="2"/>
          <w:sz w:val="22"/>
          <w:szCs w:val="22"/>
          <w:highlight w:val="none"/>
        </w:rPr>
        <w:t>天内将</w:t>
      </w:r>
      <w:r>
        <w:rPr>
          <w:rFonts w:hint="eastAsia" w:ascii="仿宋" w:hAnsi="仿宋" w:eastAsia="仿宋" w:cs="仿宋"/>
          <w:b/>
          <w:bCs/>
          <w:color w:val="auto"/>
          <w:kern w:val="2"/>
          <w:sz w:val="22"/>
          <w:szCs w:val="22"/>
          <w:highlight w:val="none"/>
          <w:lang w:eastAsia="zh-CN"/>
        </w:rPr>
        <w:t>确认</w:t>
      </w:r>
      <w:r>
        <w:rPr>
          <w:rFonts w:hint="eastAsia" w:ascii="仿宋" w:hAnsi="仿宋" w:eastAsia="仿宋" w:cs="仿宋"/>
          <w:b/>
          <w:bCs/>
          <w:color w:val="auto"/>
          <w:kern w:val="2"/>
          <w:sz w:val="22"/>
          <w:szCs w:val="22"/>
          <w:highlight w:val="none"/>
        </w:rPr>
        <w:t>的纸版和电子版如下资料提供给甲方：</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.2.1</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外购件明细表</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.2.2</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备件、附件明细表</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.2.3</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各部分总图、装配图及零件图</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.2.4</w:t>
      </w:r>
      <w:r>
        <w:rPr>
          <w:rFonts w:hint="eastAsia" w:ascii="仿宋" w:hAnsi="仿宋" w:eastAsia="仿宋" w:cs="仿宋"/>
          <w:b/>
          <w:bCs/>
          <w:color w:val="auto"/>
          <w:kern w:val="2"/>
          <w:sz w:val="22"/>
          <w:szCs w:val="22"/>
          <w:highlight w:val="none"/>
          <w:lang w:val="en-US" w:eastAsia="zh-CN"/>
        </w:rPr>
        <w:t xml:space="preserve"> 产品合格证、使用说明书、备件图纸；</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4.2.5 电动机检验报告书；</w:t>
      </w:r>
    </w:p>
    <w:p>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4.2.6 电动机质量保证书。</w:t>
      </w:r>
    </w:p>
    <w:p>
      <w:pPr>
        <w:widowControl w:val="0"/>
        <w:spacing w:line="360" w:lineRule="auto"/>
        <w:ind w:firstLine="126" w:firstLineChars="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w:t>
      </w:r>
      <w:r>
        <w:rPr>
          <w:rFonts w:hint="eastAsia" w:ascii="仿宋" w:hAnsi="仿宋" w:eastAsia="仿宋" w:cs="仿宋"/>
          <w:b/>
          <w:bCs/>
          <w:color w:val="auto"/>
          <w:kern w:val="2"/>
          <w:sz w:val="22"/>
          <w:szCs w:val="22"/>
          <w:highlight w:val="none"/>
          <w:lang w:val="en-US" w:eastAsia="zh-CN"/>
        </w:rPr>
        <w:t xml:space="preserve">3 </w:t>
      </w:r>
      <w:r>
        <w:rPr>
          <w:rFonts w:hint="eastAsia" w:ascii="仿宋" w:hAnsi="仿宋" w:eastAsia="仿宋" w:cs="仿宋"/>
          <w:b/>
          <w:bCs/>
          <w:color w:val="auto"/>
          <w:kern w:val="2"/>
          <w:sz w:val="22"/>
          <w:szCs w:val="22"/>
          <w:highlight w:val="none"/>
        </w:rPr>
        <w:t>邮寄地址</w:t>
      </w:r>
    </w:p>
    <w:p>
      <w:pPr>
        <w:widowControl w:val="0"/>
        <w:spacing w:line="360" w:lineRule="auto"/>
        <w:ind w:firstLine="568" w:firstLineChars="2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 xml:space="preserve">甲方邮寄信息： </w:t>
      </w:r>
    </w:p>
    <w:p>
      <w:pPr>
        <w:widowControl w:val="0"/>
        <w:spacing w:line="360" w:lineRule="auto"/>
        <w:ind w:firstLine="568" w:firstLineChars="2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邮政编码：735100；</w:t>
      </w:r>
    </w:p>
    <w:p>
      <w:pPr>
        <w:pStyle w:val="9"/>
        <w:spacing w:line="360" w:lineRule="auto"/>
        <w:ind w:firstLine="552" w:firstLineChars="250"/>
        <w:rPr>
          <w:rFonts w:hint="default" w:ascii="仿宋" w:hAnsi="仿宋" w:eastAsia="仿宋" w:cs="仿宋"/>
          <w:b/>
          <w:bCs/>
          <w:color w:val="auto"/>
          <w:sz w:val="22"/>
          <w:szCs w:val="22"/>
          <w:highlight w:val="none"/>
          <w:lang w:val="en-US"/>
        </w:rPr>
      </w:pPr>
      <w:r>
        <w:rPr>
          <w:rFonts w:hint="eastAsia" w:ascii="仿宋" w:hAnsi="仿宋" w:eastAsia="仿宋" w:cs="仿宋"/>
          <w:b/>
          <w:bCs/>
          <w:color w:val="auto"/>
          <w:sz w:val="22"/>
          <w:szCs w:val="22"/>
          <w:highlight w:val="none"/>
        </w:rPr>
        <w:t>收件人</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陈永刚；</w:t>
      </w:r>
      <w:r>
        <w:rPr>
          <w:rFonts w:hint="eastAsia" w:ascii="仿宋" w:hAnsi="仿宋" w:eastAsia="仿宋" w:cs="仿宋"/>
          <w:b/>
          <w:bCs/>
          <w:color w:val="auto"/>
          <w:sz w:val="22"/>
          <w:szCs w:val="22"/>
          <w:highlight w:val="none"/>
        </w:rPr>
        <w:t>联系电话：</w:t>
      </w:r>
      <w:r>
        <w:rPr>
          <w:rFonts w:hint="eastAsia" w:ascii="仿宋" w:hAnsi="仿宋" w:eastAsia="仿宋" w:cs="仿宋"/>
          <w:b/>
          <w:bCs/>
          <w:color w:val="auto"/>
          <w:sz w:val="22"/>
          <w:szCs w:val="22"/>
          <w:highlight w:val="none"/>
          <w:lang w:val="en-US" w:eastAsia="zh-CN"/>
        </w:rPr>
        <w:t>15390581856</w:t>
      </w:r>
    </w:p>
    <w:p>
      <w:pPr>
        <w:pStyle w:val="9"/>
        <w:spacing w:line="360" w:lineRule="auto"/>
        <w:ind w:firstLine="2319" w:firstLineChars="105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电子邮箱：</w:t>
      </w:r>
      <w:r>
        <w:rPr>
          <w:rFonts w:hint="eastAsia" w:ascii="仿宋" w:hAnsi="仿宋" w:eastAsia="仿宋" w:cs="仿宋"/>
          <w:b/>
          <w:bCs/>
          <w:color w:val="auto"/>
          <w:sz w:val="22"/>
          <w:szCs w:val="22"/>
          <w:highlight w:val="none"/>
          <w:lang w:val="en-US" w:eastAsia="zh-CN"/>
        </w:rPr>
        <w:t>chenyonggang1@jiugang.com</w:t>
      </w:r>
    </w:p>
    <w:p>
      <w:pPr>
        <w:widowControl w:val="0"/>
        <w:spacing w:line="360" w:lineRule="auto"/>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附件</w:t>
      </w:r>
      <w:r>
        <w:rPr>
          <w:rFonts w:hint="eastAsia" w:ascii="仿宋" w:hAnsi="仿宋" w:eastAsia="仿宋" w:cs="仿宋"/>
          <w:b/>
          <w:bCs/>
          <w:color w:val="auto"/>
          <w:kern w:val="2"/>
          <w:sz w:val="22"/>
          <w:szCs w:val="22"/>
          <w:highlight w:val="none"/>
          <w:lang w:eastAsia="zh-CN"/>
        </w:rPr>
        <w:t>五</w:t>
      </w:r>
      <w:r>
        <w:rPr>
          <w:rFonts w:hint="eastAsia" w:ascii="仿宋" w:hAnsi="仿宋" w:eastAsia="仿宋" w:cs="仿宋"/>
          <w:b/>
          <w:bCs/>
          <w:color w:val="auto"/>
          <w:kern w:val="2"/>
          <w:sz w:val="22"/>
          <w:szCs w:val="22"/>
          <w:highlight w:val="none"/>
        </w:rPr>
        <w:t xml:space="preserve"> </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.1</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kern w:val="2"/>
          <w:sz w:val="22"/>
          <w:szCs w:val="22"/>
          <w:highlight w:val="none"/>
        </w:rPr>
        <w:t>的</w:t>
      </w:r>
      <w:r>
        <w:rPr>
          <w:rFonts w:hint="eastAsia" w:ascii="仿宋" w:hAnsi="仿宋" w:eastAsia="仿宋" w:cs="仿宋"/>
          <w:b/>
          <w:bCs/>
          <w:color w:val="auto"/>
          <w:kern w:val="2"/>
          <w:sz w:val="22"/>
          <w:szCs w:val="22"/>
          <w:highlight w:val="none"/>
          <w:lang w:eastAsia="zh-CN"/>
        </w:rPr>
        <w:t>质量</w:t>
      </w:r>
      <w:r>
        <w:rPr>
          <w:rFonts w:hint="eastAsia" w:ascii="仿宋" w:hAnsi="仿宋" w:eastAsia="仿宋" w:cs="仿宋"/>
          <w:b/>
          <w:bCs/>
          <w:color w:val="auto"/>
          <w:kern w:val="2"/>
          <w:sz w:val="22"/>
          <w:szCs w:val="22"/>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.2在质保期内</w:t>
      </w:r>
      <w:r>
        <w:rPr>
          <w:rFonts w:hint="eastAsia" w:ascii="仿宋" w:hAnsi="仿宋" w:eastAsia="仿宋" w:cs="仿宋"/>
          <w:b/>
          <w:bCs/>
          <w:color w:val="auto"/>
          <w:kern w:val="2"/>
          <w:sz w:val="22"/>
          <w:szCs w:val="22"/>
          <w:highlight w:val="none"/>
          <w:lang w:eastAsia="zh-CN"/>
        </w:rPr>
        <w:t>出现的任何质量问题，</w:t>
      </w:r>
      <w:r>
        <w:rPr>
          <w:rFonts w:hint="eastAsia" w:ascii="仿宋" w:hAnsi="仿宋" w:eastAsia="仿宋" w:cs="仿宋"/>
          <w:b/>
          <w:bCs/>
          <w:color w:val="auto"/>
          <w:kern w:val="2"/>
          <w:sz w:val="22"/>
          <w:szCs w:val="22"/>
          <w:highlight w:val="none"/>
        </w:rPr>
        <w:t>乙方</w:t>
      </w:r>
      <w:r>
        <w:rPr>
          <w:rFonts w:hint="eastAsia" w:ascii="仿宋" w:hAnsi="仿宋" w:eastAsia="仿宋" w:cs="仿宋"/>
          <w:b/>
          <w:bCs/>
          <w:color w:val="auto"/>
          <w:kern w:val="2"/>
          <w:sz w:val="22"/>
          <w:szCs w:val="22"/>
          <w:highlight w:val="none"/>
          <w:lang w:eastAsia="zh-CN"/>
        </w:rPr>
        <w:t>无偿负责更换新备件至使用现场，产生的一切费用均由乙方承担</w:t>
      </w:r>
      <w:r>
        <w:rPr>
          <w:rFonts w:hint="eastAsia" w:ascii="仿宋" w:hAnsi="仿宋" w:eastAsia="仿宋" w:cs="仿宋"/>
          <w:b/>
          <w:bCs/>
          <w:color w:val="auto"/>
          <w:kern w:val="2"/>
          <w:sz w:val="22"/>
          <w:szCs w:val="22"/>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.3</w:t>
      </w:r>
      <w:r>
        <w:rPr>
          <w:rFonts w:hint="eastAsia" w:ascii="仿宋" w:hAnsi="仿宋" w:eastAsia="仿宋" w:cs="仿宋"/>
          <w:b/>
          <w:bCs/>
          <w:color w:val="auto"/>
          <w:kern w:val="2"/>
          <w:sz w:val="22"/>
          <w:szCs w:val="22"/>
          <w:highlight w:val="none"/>
          <w:lang w:eastAsia="zh-CN"/>
        </w:rPr>
        <w:t>对安装、调试后，质保期内，设备精度达不到协议要求，</w:t>
      </w:r>
      <w:r>
        <w:rPr>
          <w:rFonts w:hint="eastAsia" w:ascii="仿宋" w:hAnsi="仿宋" w:eastAsia="仿宋" w:cs="仿宋"/>
          <w:b/>
          <w:bCs/>
          <w:color w:val="auto"/>
          <w:kern w:val="2"/>
          <w:sz w:val="22"/>
          <w:szCs w:val="22"/>
          <w:highlight w:val="none"/>
        </w:rPr>
        <w:t>乙方在接到甲方服务要求后，应在24个小时内派出专业人员赶赴现场负责查找和解决系统故障</w:t>
      </w:r>
      <w:r>
        <w:rPr>
          <w:rFonts w:hint="eastAsia" w:ascii="仿宋" w:hAnsi="仿宋" w:eastAsia="仿宋" w:cs="仿宋"/>
          <w:b/>
          <w:bCs/>
          <w:color w:val="auto"/>
          <w:kern w:val="2"/>
          <w:sz w:val="22"/>
          <w:szCs w:val="22"/>
          <w:highlight w:val="none"/>
          <w:lang w:eastAsia="zh-CN"/>
        </w:rPr>
        <w:t>，直至满足现场使用要求，服务所需费用全部由乙方承担</w:t>
      </w:r>
      <w:r>
        <w:rPr>
          <w:rFonts w:hint="eastAsia" w:ascii="仿宋" w:hAnsi="仿宋" w:eastAsia="仿宋" w:cs="仿宋"/>
          <w:b/>
          <w:bCs/>
          <w:color w:val="auto"/>
          <w:kern w:val="2"/>
          <w:sz w:val="22"/>
          <w:szCs w:val="22"/>
          <w:highlight w:val="none"/>
        </w:rPr>
        <w:t>。</w:t>
      </w:r>
    </w:p>
    <w:p>
      <w:pPr>
        <w:tabs>
          <w:tab w:val="left" w:pos="0"/>
          <w:tab w:val="left" w:pos="720"/>
          <w:tab w:val="left" w:pos="900"/>
          <w:tab w:val="left" w:pos="1080"/>
        </w:tabs>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6.1</w:t>
      </w:r>
      <w:r>
        <w:rPr>
          <w:rFonts w:hint="eastAsia" w:ascii="仿宋" w:hAnsi="仿宋" w:eastAsia="仿宋" w:cs="仿宋"/>
          <w:b/>
          <w:bCs/>
          <w:color w:val="auto"/>
          <w:sz w:val="22"/>
          <w:szCs w:val="22"/>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交货时间</w:t>
      </w:r>
      <w:r>
        <w:rPr>
          <w:rFonts w:hint="eastAsia" w:ascii="仿宋" w:hAnsi="仿宋" w:eastAsia="仿宋" w:cs="仿宋"/>
          <w:b/>
          <w:bCs/>
          <w:color w:val="auto"/>
          <w:sz w:val="22"/>
          <w:szCs w:val="22"/>
          <w:highlight w:val="none"/>
        </w:rPr>
        <w:t>：20</w:t>
      </w:r>
      <w:r>
        <w:rPr>
          <w:rFonts w:hint="eastAsia" w:ascii="仿宋" w:hAnsi="仿宋" w:eastAsia="仿宋" w:cs="仿宋"/>
          <w:b/>
          <w:bCs/>
          <w:color w:val="auto"/>
          <w:sz w:val="22"/>
          <w:szCs w:val="22"/>
          <w:highlight w:val="none"/>
          <w:lang w:val="en-US" w:eastAsia="zh-CN"/>
        </w:rPr>
        <w:t>26</w:t>
      </w:r>
      <w:r>
        <w:rPr>
          <w:rFonts w:hint="eastAsia" w:ascii="仿宋" w:hAnsi="仿宋" w:eastAsia="仿宋" w:cs="仿宋"/>
          <w:b/>
          <w:bCs/>
          <w:color w:val="auto"/>
          <w:sz w:val="22"/>
          <w:szCs w:val="22"/>
          <w:highlight w:val="none"/>
        </w:rPr>
        <w:t>年</w:t>
      </w:r>
      <w:r>
        <w:rPr>
          <w:rFonts w:hint="eastAsia" w:ascii="仿宋" w:hAnsi="仿宋" w:eastAsia="仿宋" w:cs="仿宋"/>
          <w:b/>
          <w:bCs/>
          <w:color w:val="auto"/>
          <w:sz w:val="22"/>
          <w:szCs w:val="22"/>
          <w:highlight w:val="none"/>
          <w:lang w:val="en-US" w:eastAsia="zh-CN"/>
        </w:rPr>
        <w:t xml:space="preserve">  </w:t>
      </w:r>
      <w:bookmarkStart w:id="1" w:name="_GoBack"/>
      <w:bookmarkEnd w:id="1"/>
      <w:r>
        <w:rPr>
          <w:rFonts w:hint="eastAsia" w:ascii="仿宋" w:hAnsi="仿宋" w:eastAsia="仿宋" w:cs="仿宋"/>
          <w:b/>
          <w:bCs/>
          <w:color w:val="auto"/>
          <w:sz w:val="22"/>
          <w:szCs w:val="22"/>
          <w:highlight w:val="none"/>
        </w:rPr>
        <w:t>月</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rPr>
        <w:t>日</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6.2</w:t>
      </w:r>
      <w:r>
        <w:rPr>
          <w:rFonts w:hint="eastAsia" w:ascii="仿宋" w:hAnsi="仿宋" w:eastAsia="仿宋" w:cs="仿宋"/>
          <w:b/>
          <w:bCs/>
          <w:color w:val="auto"/>
          <w:sz w:val="22"/>
          <w:szCs w:val="22"/>
          <w:highlight w:val="none"/>
        </w:rPr>
        <w:t>交货地点：甘肃省嘉峪关市酒钢储运部</w:t>
      </w:r>
      <w:r>
        <w:rPr>
          <w:rFonts w:hint="eastAsia" w:ascii="仿宋" w:hAnsi="仿宋" w:eastAsia="仿宋" w:cs="仿宋"/>
          <w:b/>
          <w:bCs/>
          <w:color w:val="auto"/>
          <w:sz w:val="22"/>
          <w:szCs w:val="22"/>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附件七   其它</w:t>
      </w:r>
    </w:p>
    <w:p>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rPr>
      </w:pPr>
      <w:r>
        <w:rPr>
          <w:rFonts w:hint="eastAsia" w:ascii="仿宋" w:hAnsi="仿宋" w:eastAsia="仿宋" w:cs="仿宋"/>
          <w:b/>
          <w:bCs/>
          <w:color w:val="auto"/>
          <w:sz w:val="22"/>
          <w:szCs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rPr>
      </w:pPr>
      <w:r>
        <w:rPr>
          <w:rFonts w:hint="eastAsia" w:ascii="仿宋" w:hAnsi="仿宋" w:eastAsia="仿宋" w:cs="仿宋"/>
          <w:b/>
          <w:bCs/>
          <w:color w:val="auto"/>
          <w:sz w:val="22"/>
          <w:szCs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lang w:val="en-US" w:eastAsia="zh-CN"/>
        </w:rPr>
      </w:pPr>
      <w:r>
        <w:rPr>
          <w:rFonts w:hint="eastAsia" w:ascii="仿宋" w:hAnsi="仿宋" w:eastAsia="仿宋" w:cs="仿宋"/>
          <w:b/>
          <w:bCs/>
          <w:color w:val="auto"/>
          <w:sz w:val="22"/>
          <w:szCs w:val="21"/>
          <w:highlight w:val="none"/>
          <w:lang w:val="en-US" w:eastAsia="zh-CN"/>
        </w:rPr>
        <w:t>7.3若乙方公司不能中标，则本技术协议自动失效，双方不承担任何责任。</w:t>
      </w:r>
    </w:p>
    <w:p>
      <w:pPr>
        <w:ind w:firstLine="442" w:firstLineChars="200"/>
        <w:rPr>
          <w:rFonts w:hint="eastAsia" w:ascii="仿宋" w:hAnsi="仿宋" w:eastAsia="仿宋" w:cs="仿宋"/>
          <w:b/>
          <w:bCs/>
          <w:color w:val="auto"/>
          <w:sz w:val="22"/>
          <w:szCs w:val="21"/>
          <w:highlight w:val="none"/>
          <w:u w:val="single"/>
        </w:rPr>
      </w:pPr>
      <w:r>
        <w:rPr>
          <w:rFonts w:hint="eastAsia" w:ascii="仿宋" w:hAnsi="仿宋" w:eastAsia="仿宋" w:cs="仿宋"/>
          <w:b/>
          <w:bCs/>
          <w:color w:val="auto"/>
          <w:sz w:val="22"/>
          <w:szCs w:val="21"/>
          <w:highlight w:val="none"/>
          <w:lang w:val="en-US" w:eastAsia="zh-CN"/>
        </w:rPr>
        <w:t>7.4</w:t>
      </w:r>
      <w:r>
        <w:rPr>
          <w:rFonts w:hint="eastAsia" w:ascii="仿宋" w:hAnsi="仿宋" w:eastAsia="仿宋" w:cs="仿宋"/>
          <w:b/>
          <w:bCs/>
          <w:color w:val="auto"/>
          <w:sz w:val="22"/>
          <w:szCs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b/>
          <w:bCs/>
          <w:color w:val="auto"/>
          <w:sz w:val="22"/>
          <w:szCs w:val="22"/>
          <w:highlight w:val="none"/>
        </w:rPr>
      </w:pPr>
    </w:p>
    <w:p>
      <w:pPr>
        <w:pStyle w:val="6"/>
        <w:tabs>
          <w:tab w:val="left" w:pos="5094"/>
        </w:tabs>
        <w:spacing w:line="480" w:lineRule="auto"/>
        <w:ind w:right="1735"/>
        <w:rPr>
          <w:rFonts w:hint="eastAsia" w:ascii="仿宋" w:hAnsi="仿宋" w:eastAsia="仿宋" w:cs="仿宋"/>
          <w:b/>
          <w:bCs/>
          <w:color w:val="auto"/>
          <w:sz w:val="28"/>
          <w:szCs w:val="6"/>
          <w:highlight w:val="none"/>
        </w:rPr>
      </w:pPr>
      <w:r>
        <w:rPr>
          <w:rFonts w:hint="eastAsia" w:ascii="仿宋" w:hAnsi="仿宋" w:eastAsia="仿宋" w:cs="仿宋"/>
          <w:b/>
          <w:bCs/>
          <w:color w:val="auto"/>
          <w:sz w:val="28"/>
          <w:szCs w:val="6"/>
          <w:highlight w:val="none"/>
        </w:rPr>
        <w:t>甲方：甘肃酒钢集团宏兴钢铁股份有限公司炼厂</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乙方：</w:t>
      </w:r>
    </w:p>
    <w:p>
      <w:pPr>
        <w:pStyle w:val="6"/>
        <w:tabs>
          <w:tab w:val="left" w:pos="5094"/>
        </w:tabs>
        <w:spacing w:line="480" w:lineRule="auto"/>
        <w:rPr>
          <w:rFonts w:hint="eastAsia" w:ascii="仿宋" w:hAnsi="仿宋" w:eastAsia="仿宋" w:cs="仿宋"/>
          <w:b/>
          <w:bCs/>
          <w:color w:val="auto"/>
          <w:sz w:val="4"/>
          <w:szCs w:val="6"/>
          <w:highlight w:val="none"/>
        </w:rPr>
      </w:pPr>
      <w:r>
        <w:rPr>
          <w:rFonts w:hint="eastAsia" w:ascii="仿宋" w:hAnsi="仿宋" w:eastAsia="仿宋" w:cs="仿宋"/>
          <w:b/>
          <w:bCs/>
          <w:color w:val="auto"/>
          <w:sz w:val="28"/>
          <w:szCs w:val="6"/>
          <w:highlight w:val="none"/>
        </w:rPr>
        <w:t>代表：</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w w:val="95"/>
          <w:sz w:val="28"/>
          <w:szCs w:val="6"/>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8"/>
          <w:szCs w:val="6"/>
          <w:highlight w:val="none"/>
        </w:rPr>
      </w:pPr>
      <w:r>
        <w:rPr>
          <w:rFonts w:hint="eastAsia" w:ascii="仿宋" w:hAnsi="仿宋" w:eastAsia="仿宋" w:cs="仿宋"/>
          <w:b/>
          <w:bCs/>
          <w:color w:val="auto"/>
          <w:sz w:val="28"/>
          <w:szCs w:val="6"/>
          <w:highlight w:val="none"/>
        </w:rPr>
        <w:t>日期：</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年</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rPr>
        <w:t>月</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日期：</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年</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月</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pPr>
        <w:rPr>
          <w:rFonts w:hint="eastAsia" w:ascii="仿宋" w:hAnsi="仿宋" w:eastAsia="仿宋" w:cs="仿宋"/>
          <w:color w:val="auto"/>
          <w:sz w:val="18"/>
          <w:szCs w:val="18"/>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1A55"/>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8416F2D"/>
    <w:rsid w:val="0A502357"/>
    <w:rsid w:val="0AE46D57"/>
    <w:rsid w:val="0AF75787"/>
    <w:rsid w:val="0C693DF6"/>
    <w:rsid w:val="0D43334D"/>
    <w:rsid w:val="0F6949B9"/>
    <w:rsid w:val="0FA7334B"/>
    <w:rsid w:val="10594DE6"/>
    <w:rsid w:val="11AC1D80"/>
    <w:rsid w:val="13E1587A"/>
    <w:rsid w:val="140F5D40"/>
    <w:rsid w:val="144C07BE"/>
    <w:rsid w:val="14A213F8"/>
    <w:rsid w:val="14CD142F"/>
    <w:rsid w:val="15B8653A"/>
    <w:rsid w:val="15C0276A"/>
    <w:rsid w:val="17B55FF2"/>
    <w:rsid w:val="18A90670"/>
    <w:rsid w:val="190D30A5"/>
    <w:rsid w:val="1A241B01"/>
    <w:rsid w:val="1A9210DE"/>
    <w:rsid w:val="1B453AF2"/>
    <w:rsid w:val="1C3A718F"/>
    <w:rsid w:val="1CB9496A"/>
    <w:rsid w:val="1D0E6271"/>
    <w:rsid w:val="1E756B99"/>
    <w:rsid w:val="1F204D21"/>
    <w:rsid w:val="20582F84"/>
    <w:rsid w:val="205F020B"/>
    <w:rsid w:val="21333432"/>
    <w:rsid w:val="232E2103"/>
    <w:rsid w:val="262C11AD"/>
    <w:rsid w:val="264D6D44"/>
    <w:rsid w:val="26B72CBF"/>
    <w:rsid w:val="274A49E9"/>
    <w:rsid w:val="29796396"/>
    <w:rsid w:val="29FD3EA4"/>
    <w:rsid w:val="2B9845BD"/>
    <w:rsid w:val="2CCF424F"/>
    <w:rsid w:val="2D34414E"/>
    <w:rsid w:val="2F5A6DBC"/>
    <w:rsid w:val="2F950B2B"/>
    <w:rsid w:val="30F626F4"/>
    <w:rsid w:val="316F691B"/>
    <w:rsid w:val="32D83E39"/>
    <w:rsid w:val="333E3CF5"/>
    <w:rsid w:val="34F76C36"/>
    <w:rsid w:val="38822413"/>
    <w:rsid w:val="38856A28"/>
    <w:rsid w:val="39481A9A"/>
    <w:rsid w:val="3E3770BC"/>
    <w:rsid w:val="3EAF1EBE"/>
    <w:rsid w:val="3EDB73BB"/>
    <w:rsid w:val="400047ED"/>
    <w:rsid w:val="400A0C2B"/>
    <w:rsid w:val="42650422"/>
    <w:rsid w:val="42B51AA1"/>
    <w:rsid w:val="43AA712C"/>
    <w:rsid w:val="43B635A3"/>
    <w:rsid w:val="48AE77F9"/>
    <w:rsid w:val="49916AB0"/>
    <w:rsid w:val="4A1D17C2"/>
    <w:rsid w:val="4B7103C2"/>
    <w:rsid w:val="4D5C1497"/>
    <w:rsid w:val="4E02772B"/>
    <w:rsid w:val="4F5C3C49"/>
    <w:rsid w:val="4F7E26BC"/>
    <w:rsid w:val="508431D1"/>
    <w:rsid w:val="52543B4B"/>
    <w:rsid w:val="52A631B4"/>
    <w:rsid w:val="53193986"/>
    <w:rsid w:val="53B546F8"/>
    <w:rsid w:val="55B41744"/>
    <w:rsid w:val="577F2AA1"/>
    <w:rsid w:val="57A0082C"/>
    <w:rsid w:val="57F435E4"/>
    <w:rsid w:val="58374651"/>
    <w:rsid w:val="5A5B7F3B"/>
    <w:rsid w:val="5B4A656D"/>
    <w:rsid w:val="5C563148"/>
    <w:rsid w:val="5E0C6B70"/>
    <w:rsid w:val="5EB033F0"/>
    <w:rsid w:val="608B2DCE"/>
    <w:rsid w:val="61D858B1"/>
    <w:rsid w:val="625E7ACB"/>
    <w:rsid w:val="66D85EBE"/>
    <w:rsid w:val="66F61BBC"/>
    <w:rsid w:val="67876CB8"/>
    <w:rsid w:val="67A63303"/>
    <w:rsid w:val="68662A29"/>
    <w:rsid w:val="69BB3AF8"/>
    <w:rsid w:val="6AB0617B"/>
    <w:rsid w:val="6C1604B6"/>
    <w:rsid w:val="6D723F67"/>
    <w:rsid w:val="725F0F5E"/>
    <w:rsid w:val="72D75DC2"/>
    <w:rsid w:val="73814F04"/>
    <w:rsid w:val="74753B7F"/>
    <w:rsid w:val="74FB6702"/>
    <w:rsid w:val="77FB4464"/>
    <w:rsid w:val="78634A33"/>
    <w:rsid w:val="78CA4C57"/>
    <w:rsid w:val="7A073341"/>
    <w:rsid w:val="7B5C59B1"/>
    <w:rsid w:val="7B7A6D7B"/>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2148</Words>
  <Characters>2466</Characters>
  <Lines>16</Lines>
  <Paragraphs>4</Paragraphs>
  <TotalTime>8</TotalTime>
  <ScaleCrop>false</ScaleCrop>
  <LinksUpToDate>false</LinksUpToDate>
  <CharactersWithSpaces>2674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2026-05-11T08:41:40Z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C459506816B444B0820134B3E471F0E8_13</vt:lpwstr>
  </property>
  <property fmtid="{D5CDD505-2E9C-101B-9397-08002B2CF9AE}" pid="4" name="KSOTemplateDocerSaveRecord">
    <vt:lpwstr>eyJoZGlkIjoiNmY5NjMxZGJhNGU4M2I2YTUxMjMwZDBkNzg4ZjRkOTAiLCJ1c2VySWQiOiIxNjUxMDAzMTEzIn0=</vt:lpwstr>
  </property>
</Properties>
</file>